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Landlord Response to Tenant Surrender Request</w:t>
      </w:r>
    </w:p>
    <w:p>
      <w:r>
        <w:rPr>
          <w:i/>
        </w:rPr>
        <w:t>Landlord/agent response — select and complete the applicable option</w:t>
      </w:r>
    </w:p>
    <w:tbl>
      <w:tblPr>
        <w:tblW w:type="auto" w:w="0"/>
        <w:jc w:val="center"/>
        <w:tblLook w:firstColumn="1" w:firstRow="1" w:lastColumn="0" w:lastRow="0" w:noHBand="0" w:noVBand="1" w:val="04A0"/>
      </w:tblPr>
      <w:tblGrid>
        <w:gridCol w:w="10080"/>
      </w:tblGrid>
      <w:tr>
        <w:tc>
          <w:tcPr>
            <w:tcW w:type="dxa" w:w="10080"/>
            <w:shd w:fill="F2F2F2"/>
          </w:tcPr>
          <w:p>
            <w:r>
              <w:rPr>
                <w:b/>
              </w:rPr>
              <w:t>IMPORTANT: This template is for private residential tenancies in England. It should not be used as a substitute for possession proceedings, to pressure a tenant to leave, or where consent to surrender is disputed.</w:t>
            </w:r>
          </w:p>
        </w:tc>
      </w:tr>
    </w:tbl>
    <w:p>
      <w:r>
        <w:t>From 1 May 2026, most private assured tenancies in England are assured periodic tenancies. A negotiated surrender is a consensual agreement and is distinct from a landlord obtaining possession through the statutory possession process. Complete only provisions that accurately reflect what has been agreed.</w:t>
      </w:r>
    </w:p>
    <w:p>
      <w:pPr>
        <w:pStyle w:val="Heading1"/>
      </w:pPr>
      <w:r>
        <w:t>1. Details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Property</w:t>
            </w:r>
          </w:p>
        </w:tc>
        <w:tc>
          <w:tcPr>
            <w:tcW w:type="dxa" w:w="5040"/>
          </w:tcPr>
          <w:p>
            <w:r>
              <w:t>[ ]</w:t>
            </w:r>
          </w:p>
        </w:tc>
      </w:tr>
      <w:tr>
        <w:tc>
          <w:tcPr>
            <w:tcW w:type="dxa" w:w="5040"/>
            <w:vAlign w:val="center"/>
          </w:tcPr>
          <w:p>
            <w:r>
              <w:rPr>
                <w:b/>
              </w:rPr>
              <w:t>Landlord</w:t>
            </w:r>
          </w:p>
        </w:tc>
        <w:tc>
          <w:tcPr>
            <w:tcW w:type="dxa" w:w="5040"/>
          </w:tcPr>
          <w:p>
            <w:r>
              <w:t>[ ]</w:t>
            </w:r>
          </w:p>
        </w:tc>
      </w:tr>
      <w:tr>
        <w:tc>
          <w:tcPr>
            <w:tcW w:type="dxa" w:w="5040"/>
            <w:vAlign w:val="center"/>
          </w:tcPr>
          <w:p>
            <w:r>
              <w:rPr>
                <w:b/>
              </w:rPr>
              <w:t>Tenant(s)</w:t>
            </w:r>
          </w:p>
        </w:tc>
        <w:tc>
          <w:tcPr>
            <w:tcW w:type="dxa" w:w="5040"/>
          </w:tcPr>
          <w:p>
            <w:r>
              <w:t>[ ]</w:t>
            </w:r>
          </w:p>
        </w:tc>
      </w:tr>
      <w:tr>
        <w:tc>
          <w:tcPr>
            <w:tcW w:type="dxa" w:w="5040"/>
            <w:vAlign w:val="center"/>
          </w:tcPr>
          <w:p>
            <w:r>
              <w:rPr>
                <w:b/>
              </w:rPr>
              <w:t>Tenant request dated</w:t>
            </w:r>
          </w:p>
        </w:tc>
        <w:tc>
          <w:tcPr>
            <w:tcW w:type="dxa" w:w="5040"/>
          </w:tcPr>
          <w:p>
            <w:r>
              <w:t>[ ]</w:t>
            </w:r>
          </w:p>
        </w:tc>
      </w:tr>
      <w:tr>
        <w:tc>
          <w:tcPr>
            <w:tcW w:type="dxa" w:w="5040"/>
            <w:vAlign w:val="center"/>
          </w:tcPr>
          <w:p>
            <w:r>
              <w:rPr>
                <w:b/>
              </w:rPr>
              <w:t>Proposed surrender date</w:t>
            </w:r>
          </w:p>
        </w:tc>
        <w:tc>
          <w:tcPr>
            <w:tcW w:type="dxa" w:w="5040"/>
          </w:tcPr>
          <w:p>
            <w:r>
              <w:t>[ ]</w:t>
            </w:r>
          </w:p>
        </w:tc>
      </w:tr>
    </w:tbl>
    <w:p>
      <w:pPr>
        <w:pStyle w:val="Heading1"/>
      </w:pPr>
      <w:r>
        <w:t>2. Response</w:t>
      </w:r>
    </w:p>
    <w:p>
      <w:r>
        <w:t>Tick ONE response and delete the others before sending.</w:t>
      </w:r>
    </w:p>
    <w:p>
      <w:pPr>
        <w:pStyle w:val="ListBullet"/>
      </w:pPr>
      <w:r>
        <w:t>☐ ACCEPTED IN PRINCIPLE ONLY: The landlord is willing to work toward a surrender, subject to written final terms and completion of the agreed handover. This letter alone does not end the tenancy.</w:t>
      </w:r>
    </w:p>
    <w:p>
      <w:pPr>
        <w:pStyle w:val="ListBullet"/>
      </w:pPr>
      <w:r>
        <w:t>☐ ACCEPTED: The landlord agrees to the surrender on [date/time], subject to the terms set out below and/or the attached Deed of Surrender.</w:t>
      </w:r>
    </w:p>
    <w:p>
      <w:pPr>
        <w:pStyle w:val="ListBullet"/>
      </w:pPr>
      <w:r>
        <w:t>☐ COUNTER-PROPOSAL: The landlord would agree to surrender on [date/time] on the conditions below.</w:t>
      </w:r>
    </w:p>
    <w:p>
      <w:pPr>
        <w:pStyle w:val="ListBullet"/>
      </w:pPr>
      <w:r>
        <w:t>☐ NOT ACCEPTED: The proposed surrender is not agreed. The tenancy therefore continues unless and until it ends by another lawful route.</w:t>
      </w:r>
    </w:p>
    <w:p>
      <w:pPr>
        <w:pStyle w:val="Heading1"/>
      </w:pPr>
      <w:r>
        <w:t>3. Conditions / agreed arrangements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Surrender date/time</w:t>
            </w:r>
          </w:p>
        </w:tc>
        <w:tc>
          <w:tcPr>
            <w:tcW w:type="dxa" w:w="5040"/>
          </w:tcPr>
          <w:p>
            <w:r>
              <w:t>[ ]</w:t>
            </w:r>
          </w:p>
        </w:tc>
      </w:tr>
      <w:tr>
        <w:tc>
          <w:tcPr>
            <w:tcW w:type="dxa" w:w="5040"/>
            <w:vAlign w:val="center"/>
          </w:tcPr>
          <w:p>
            <w:r>
              <w:rPr>
                <w:b/>
              </w:rPr>
              <w:t>Rent/account position</w:t>
            </w:r>
          </w:p>
        </w:tc>
        <w:tc>
          <w:tcPr>
            <w:tcW w:type="dxa" w:w="5040"/>
          </w:tcPr>
          <w:p>
            <w:r>
              <w:t>[ ]</w:t>
            </w:r>
          </w:p>
        </w:tc>
      </w:tr>
      <w:tr>
        <w:tc>
          <w:tcPr>
            <w:tcW w:type="dxa" w:w="5040"/>
            <w:vAlign w:val="center"/>
          </w:tcPr>
          <w:p>
            <w:r>
              <w:rPr>
                <w:b/>
              </w:rPr>
              <w:t>Inspection</w:t>
            </w:r>
          </w:p>
        </w:tc>
        <w:tc>
          <w:tcPr>
            <w:tcW w:type="dxa" w:w="5040"/>
          </w:tcPr>
          <w:p>
            <w:r>
              <w:t>[ ]</w:t>
            </w:r>
          </w:p>
        </w:tc>
      </w:tr>
      <w:tr>
        <w:tc>
          <w:tcPr>
            <w:tcW w:type="dxa" w:w="5040"/>
            <w:vAlign w:val="center"/>
          </w:tcPr>
          <w:p>
            <w:r>
              <w:rPr>
                <w:b/>
              </w:rPr>
              <w:t>Keys/access devices</w:t>
            </w:r>
          </w:p>
        </w:tc>
        <w:tc>
          <w:tcPr>
            <w:tcW w:type="dxa" w:w="5040"/>
          </w:tcPr>
          <w:p>
            <w:r>
              <w:t>[ ]</w:t>
            </w:r>
          </w:p>
        </w:tc>
      </w:tr>
      <w:tr>
        <w:tc>
          <w:tcPr>
            <w:tcW w:type="dxa" w:w="5040"/>
            <w:vAlign w:val="center"/>
          </w:tcPr>
          <w:p>
            <w:r>
              <w:rPr>
                <w:b/>
              </w:rPr>
              <w:t>Cleaning/repairs</w:t>
            </w:r>
          </w:p>
        </w:tc>
        <w:tc>
          <w:tcPr>
            <w:tcW w:type="dxa" w:w="5040"/>
          </w:tcPr>
          <w:p>
            <w:r>
              <w:t>[ ]</w:t>
            </w:r>
          </w:p>
        </w:tc>
      </w:tr>
      <w:tr>
        <w:tc>
          <w:tcPr>
            <w:tcW w:type="dxa" w:w="5040"/>
            <w:vAlign w:val="center"/>
          </w:tcPr>
          <w:p>
            <w:r>
              <w:rPr>
                <w:b/>
              </w:rPr>
              <w:t>Belongings</w:t>
            </w:r>
          </w:p>
        </w:tc>
        <w:tc>
          <w:tcPr>
            <w:tcW w:type="dxa" w:w="5040"/>
          </w:tcPr>
          <w:p>
            <w:r>
              <w:t>[ ]</w:t>
            </w:r>
          </w:p>
        </w:tc>
      </w:tr>
      <w:tr>
        <w:tc>
          <w:tcPr>
            <w:tcW w:type="dxa" w:w="5040"/>
            <w:vAlign w:val="center"/>
          </w:tcPr>
          <w:p>
            <w:r>
              <w:rPr>
                <w:b/>
              </w:rPr>
              <w:t>Deposit</w:t>
            </w:r>
          </w:p>
        </w:tc>
        <w:tc>
          <w:tcPr>
            <w:tcW w:type="dxa" w:w="5040"/>
          </w:tcPr>
          <w:p>
            <w:r>
              <w:t>[ ]</w:t>
            </w:r>
          </w:p>
        </w:tc>
      </w:tr>
      <w:tr>
        <w:tc>
          <w:tcPr>
            <w:tcW w:type="dxa" w:w="5040"/>
            <w:vAlign w:val="center"/>
          </w:tcPr>
          <w:p>
            <w:r>
              <w:rPr>
                <w:b/>
              </w:rPr>
              <w:t>Other</w:t>
            </w:r>
          </w:p>
        </w:tc>
        <w:tc>
          <w:tcPr>
            <w:tcW w:type="dxa" w:w="5040"/>
          </w:tcPr>
          <w:p>
            <w:r>
              <w:t>[ ]</w:t>
            </w:r>
          </w:p>
        </w:tc>
      </w:tr>
    </w:tbl>
    <w:p>
      <w:pPr>
        <w:pStyle w:val="Heading1"/>
      </w:pPr>
      <w:r>
        <w:t>4. Avoiding ambiguity</w:t>
      </w:r>
    </w:p>
    <w:p>
      <w:r>
        <w:t>Unless this response expressly states that the surrender is accepted immediately, negotiations, proposed dates, inspections, marketing discussions or arrangements for keys should not be treated as ending the tenancy before the agreed surrender date. If circumstances change, obtain advice before taking possession or re-letting.</w:t>
      </w:r>
    </w:p>
    <w:p>
      <w:pPr>
        <w:pStyle w:val="Heading1"/>
      </w:pPr>
      <w:r>
        <w:t>5. Next step</w:t>
      </w:r>
    </w:p>
    <w:p>
      <w:r>
        <w:t>Where agreement is reached, the parties should complete the Deed of Surrender and handover records in this pack. Any agreement about arrears, compensation, repairs or release from liability should be written clearly.</w:t>
      </w:r>
    </w:p>
    <w:p/>
    <w:tbl>
      <w:tblPr>
        <w:tblStyle w:val="TableGrid"/>
        <w:tblW w:type="auto" w:w="0"/>
        <w:tblLook w:firstColumn="1" w:firstRow="1" w:lastColumn="0" w:lastRow="0" w:noHBand="0" w:noVBand="1" w:val="04A0"/>
      </w:tblPr>
      <w:tblGrid>
        <w:gridCol w:w="5040"/>
        <w:gridCol w:w="5040"/>
      </w:tblGrid>
      <w:tr>
        <w:tc>
          <w:tcPr>
            <w:tcW w:type="dxa" w:w="5040"/>
            <w:shd w:fill="EAEAEA"/>
          </w:tcPr>
          <w:p>
            <w:r>
              <w:rPr>
                <w:b/>
              </w:rPr>
              <w:t>Landlord / authorised agent</w:t>
            </w:r>
          </w:p>
        </w:tc>
        <w:tc>
          <w:tcPr>
            <w:tcW w:type="dxa" w:w="5040"/>
            <w:shd w:fill="EAEAEA"/>
          </w:tcPr>
          <w:p>
            <w:r>
              <w:rPr>
                <w:b/>
              </w:rPr>
              <w:t>Tenant</w:t>
            </w:r>
          </w:p>
        </w:tc>
      </w:tr>
      <w:tr>
        <w:tc>
          <w:tcPr>
            <w:tcW w:type="dxa" w:w="5040"/>
          </w:tcPr>
          <w:p>
            <w:r>
              <w:t>Signature:</w:t>
              <w:br/>
              <w:br/>
            </w:r>
          </w:p>
        </w:tc>
        <w:tc>
          <w:tcPr>
            <w:tcW w:type="dxa" w:w="5040"/>
          </w:tcPr>
          <w:p>
            <w:r>
              <w:t>Signature:</w:t>
              <w:br/>
              <w:br/>
            </w:r>
          </w:p>
        </w:tc>
      </w:tr>
      <w:tr>
        <w:tc>
          <w:tcPr>
            <w:tcW w:type="dxa" w:w="5040"/>
          </w:tcPr>
          <w:p>
            <w:r>
              <w:t>Name:</w:t>
              <w:br/>
              <w:br/>
            </w:r>
          </w:p>
        </w:tc>
        <w:tc>
          <w:tcPr>
            <w:tcW w:type="dxa" w:w="5040"/>
          </w:tcPr>
          <w:p>
            <w:r>
              <w:t>Name:</w:t>
              <w:br/>
              <w:br/>
            </w:r>
          </w:p>
        </w:tc>
      </w:tr>
      <w:tr>
        <w:tc>
          <w:tcPr>
            <w:tcW w:type="dxa" w:w="5040"/>
          </w:tcPr>
          <w:p>
            <w:r>
              <w:t>Date:</w:t>
              <w:br/>
              <w:br/>
            </w:r>
          </w:p>
        </w:tc>
        <w:tc>
          <w:tcPr>
            <w:tcW w:type="dxa" w:w="5040"/>
          </w:tcPr>
          <w:p>
            <w:r>
              <w:t>Date:</w:t>
              <w:br/>
              <w:br/>
            </w:r>
          </w:p>
        </w:tc>
      </w:tr>
    </w:tbl>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A5A5A"/>
        <w:sz w:val="16"/>
      </w:rPr>
      <w:t>Template guidance only — review the completed document against the tenancy facts and current law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464646"/>
        <w:sz w:val="16"/>
      </w:rPr>
      <w:t>BRITISH LANDLORDS ASSOCIATION | TENANT SURRENDER PACK | ENGLAND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