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75CF1" w14:textId="77777777" w:rsidR="003326CD" w:rsidRPr="003326CD" w:rsidRDefault="003326CD" w:rsidP="003326C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3326C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Guidance Note: Party Wall Agreements</w:t>
      </w:r>
    </w:p>
    <w:p w14:paraId="18D538FC" w14:textId="6A70330C" w:rsidR="003326CD" w:rsidRPr="003326CD" w:rsidRDefault="003326CD" w:rsidP="003326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26C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Party Wall </w:t>
      </w:r>
      <w:proofErr w:type="gramStart"/>
      <w:r w:rsidRPr="003326CD">
        <w:rPr>
          <w:rFonts w:ascii="Times New Roman" w:eastAsia="Times New Roman" w:hAnsi="Times New Roman" w:cs="Times New Roman"/>
          <w:sz w:val="24"/>
          <w:szCs w:val="24"/>
          <w:lang w:eastAsia="en-GB"/>
        </w:rPr>
        <w:t>etc</w:t>
      </w:r>
      <w:proofErr w:type="gramEnd"/>
      <w:r w:rsidRPr="003326C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Act 1996 sets out rules concerning party walls, excavation, and nearby construction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 It aims</w:t>
      </w:r>
      <w:r w:rsidRPr="003326C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balance development with protection of neighbouring properties. This Act applies to all types of properties (residential, industrial, and commercial) in England and Wales.</w:t>
      </w:r>
    </w:p>
    <w:p w14:paraId="46F7CE33" w14:textId="77777777" w:rsidR="003326CD" w:rsidRPr="003326CD" w:rsidRDefault="003326CD" w:rsidP="003326C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3326CD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Key Points to Consider</w:t>
      </w:r>
    </w:p>
    <w:p w14:paraId="2BAE4C47" w14:textId="77777777" w:rsidR="003326CD" w:rsidRPr="003326CD" w:rsidRDefault="003326CD" w:rsidP="003326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26C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Planning Consent</w:t>
      </w:r>
      <w:r w:rsidRPr="003326CD">
        <w:rPr>
          <w:rFonts w:ascii="Times New Roman" w:eastAsia="Times New Roman" w:hAnsi="Times New Roman" w:cs="Times New Roman"/>
          <w:sz w:val="24"/>
          <w:szCs w:val="24"/>
          <w:lang w:eastAsia="en-GB"/>
        </w:rPr>
        <w:t>: Even if planning consent is obtained, a party wall agreement may still be necessary.</w:t>
      </w:r>
    </w:p>
    <w:p w14:paraId="58B0F9C9" w14:textId="77777777" w:rsidR="003326CD" w:rsidRPr="003326CD" w:rsidRDefault="003326CD" w:rsidP="003326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26C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Right to Light</w:t>
      </w:r>
      <w:r w:rsidRPr="003326CD">
        <w:rPr>
          <w:rFonts w:ascii="Times New Roman" w:eastAsia="Times New Roman" w:hAnsi="Times New Roman" w:cs="Times New Roman"/>
          <w:sz w:val="24"/>
          <w:szCs w:val="24"/>
          <w:lang w:eastAsia="en-GB"/>
        </w:rPr>
        <w:t>: Ensure that the works do not block a neighbour's right to light through adjacent windows to avoid potential legal action.</w:t>
      </w:r>
    </w:p>
    <w:p w14:paraId="186B847D" w14:textId="77777777" w:rsidR="003326CD" w:rsidRPr="003326CD" w:rsidRDefault="003326CD" w:rsidP="003326C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3326CD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Understanding Party Walls and the Need for an Agreement</w:t>
      </w:r>
    </w:p>
    <w:p w14:paraId="6FC67B89" w14:textId="77777777" w:rsidR="003326CD" w:rsidRPr="003326CD" w:rsidRDefault="003326CD" w:rsidP="003326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26C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Party Wall Definition</w:t>
      </w:r>
      <w:r w:rsidRPr="003326CD">
        <w:rPr>
          <w:rFonts w:ascii="Times New Roman" w:eastAsia="Times New Roman" w:hAnsi="Times New Roman" w:cs="Times New Roman"/>
          <w:sz w:val="24"/>
          <w:szCs w:val="24"/>
          <w:lang w:eastAsia="en-GB"/>
        </w:rPr>
        <w:t>: A wall shared by two properties, such as the wall between semi-detached houses or the floors/ceilings between flats. This also includes garden walls built along boundaries.</w:t>
      </w:r>
    </w:p>
    <w:p w14:paraId="2C7E2597" w14:textId="77777777" w:rsidR="003326CD" w:rsidRPr="003326CD" w:rsidRDefault="003326CD" w:rsidP="003326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26C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When an Agreement is Needed</w:t>
      </w:r>
      <w:r w:rsidRPr="003326CD">
        <w:rPr>
          <w:rFonts w:ascii="Times New Roman" w:eastAsia="Times New Roman" w:hAnsi="Times New Roman" w:cs="Times New Roman"/>
          <w:sz w:val="24"/>
          <w:szCs w:val="24"/>
          <w:lang w:eastAsia="en-GB"/>
        </w:rPr>
        <w:t>: For works like building along a boundary, altering an existing party wall, or excavating near a boundary (within 3-6 metres). Examples include loft conversions, inserting steel beams, removing chimney breasts, raising wall height, demolishing and rebuilding walls, underpinning, damp proofing, and digging foundations for extensions.</w:t>
      </w:r>
    </w:p>
    <w:p w14:paraId="7E74DE34" w14:textId="77777777" w:rsidR="003326CD" w:rsidRPr="003326CD" w:rsidRDefault="003326CD" w:rsidP="003326C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3326CD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Serving a Party Wall Notice and Beginning Work</w:t>
      </w:r>
    </w:p>
    <w:p w14:paraId="647D749D" w14:textId="77777777" w:rsidR="003326CD" w:rsidRPr="003326CD" w:rsidRDefault="003326CD" w:rsidP="003326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26C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Consent is Essential</w:t>
      </w:r>
      <w:r w:rsidRPr="003326CD">
        <w:rPr>
          <w:rFonts w:ascii="Times New Roman" w:eastAsia="Times New Roman" w:hAnsi="Times New Roman" w:cs="Times New Roman"/>
          <w:sz w:val="24"/>
          <w:szCs w:val="24"/>
          <w:lang w:eastAsia="en-GB"/>
        </w:rPr>
        <w:t>: Obtain neighbour consent before starting work.</w:t>
      </w:r>
    </w:p>
    <w:p w14:paraId="3BEF9176" w14:textId="77777777" w:rsidR="003326CD" w:rsidRPr="003326CD" w:rsidRDefault="003326CD" w:rsidP="003326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26C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Notice Timing</w:t>
      </w:r>
      <w:r w:rsidRPr="003326CD">
        <w:rPr>
          <w:rFonts w:ascii="Times New Roman" w:eastAsia="Times New Roman" w:hAnsi="Times New Roman" w:cs="Times New Roman"/>
          <w:sz w:val="24"/>
          <w:szCs w:val="24"/>
          <w:lang w:eastAsia="en-GB"/>
        </w:rPr>
        <w:t>: Serve notice 2 months to a year before starting work, depending on the type of work.</w:t>
      </w:r>
    </w:p>
    <w:p w14:paraId="70AC4151" w14:textId="77777777" w:rsidR="003326CD" w:rsidRPr="003326CD" w:rsidRDefault="003326CD" w:rsidP="003326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26C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Pre-Notice Discussion</w:t>
      </w:r>
      <w:r w:rsidRPr="003326CD">
        <w:rPr>
          <w:rFonts w:ascii="Times New Roman" w:eastAsia="Times New Roman" w:hAnsi="Times New Roman" w:cs="Times New Roman"/>
          <w:sz w:val="24"/>
          <w:szCs w:val="24"/>
          <w:lang w:eastAsia="en-GB"/>
        </w:rPr>
        <w:t>: Discuss proposed works with neighbours to maintain good relations.</w:t>
      </w:r>
    </w:p>
    <w:p w14:paraId="1B52BE62" w14:textId="77777777" w:rsidR="003326CD" w:rsidRPr="003326CD" w:rsidRDefault="003326CD" w:rsidP="003326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26C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Details in Notice</w:t>
      </w:r>
      <w:r w:rsidRPr="003326CD">
        <w:rPr>
          <w:rFonts w:ascii="Times New Roman" w:eastAsia="Times New Roman" w:hAnsi="Times New Roman" w:cs="Times New Roman"/>
          <w:sz w:val="24"/>
          <w:szCs w:val="24"/>
          <w:lang w:eastAsia="en-GB"/>
        </w:rPr>
        <w:t>: Use the appropriate type of notice, including work details and plans if necessary.</w:t>
      </w:r>
    </w:p>
    <w:p w14:paraId="505E761D" w14:textId="77777777" w:rsidR="003326CD" w:rsidRPr="003326CD" w:rsidRDefault="003326CD" w:rsidP="003326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26C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Delivery Methods</w:t>
      </w:r>
      <w:r w:rsidRPr="003326CD">
        <w:rPr>
          <w:rFonts w:ascii="Times New Roman" w:eastAsia="Times New Roman" w:hAnsi="Times New Roman" w:cs="Times New Roman"/>
          <w:sz w:val="24"/>
          <w:szCs w:val="24"/>
          <w:lang w:eastAsia="en-GB"/>
        </w:rPr>
        <w:t>: Serve notices in person, by post, or by email (with prior agreement).</w:t>
      </w:r>
    </w:p>
    <w:p w14:paraId="52E61F6F" w14:textId="77777777" w:rsidR="003326CD" w:rsidRPr="003326CD" w:rsidRDefault="003326CD" w:rsidP="003326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26C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If No Response</w:t>
      </w:r>
      <w:r w:rsidRPr="003326CD">
        <w:rPr>
          <w:rFonts w:ascii="Times New Roman" w:eastAsia="Times New Roman" w:hAnsi="Times New Roman" w:cs="Times New Roman"/>
          <w:sz w:val="24"/>
          <w:szCs w:val="24"/>
          <w:lang w:eastAsia="en-GB"/>
        </w:rPr>
        <w:t>: If there is no response within 14 days, send a second notice allowing an additional 10 days.</w:t>
      </w:r>
    </w:p>
    <w:p w14:paraId="6150CA8D" w14:textId="77777777" w:rsidR="003326CD" w:rsidRPr="003326CD" w:rsidRDefault="003326CD" w:rsidP="003326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26C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Dispute Protocol</w:t>
      </w:r>
      <w:r w:rsidRPr="003326CD">
        <w:rPr>
          <w:rFonts w:ascii="Times New Roman" w:eastAsia="Times New Roman" w:hAnsi="Times New Roman" w:cs="Times New Roman"/>
          <w:sz w:val="24"/>
          <w:szCs w:val="24"/>
          <w:lang w:eastAsia="en-GB"/>
        </w:rPr>
        <w:t>: If no response to the second notice, appoint a party wall surveyor.</w:t>
      </w:r>
    </w:p>
    <w:p w14:paraId="73776C45" w14:textId="77777777" w:rsidR="003326CD" w:rsidRPr="003326CD" w:rsidRDefault="003326CD" w:rsidP="003326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26C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Leasehold Properties</w:t>
      </w:r>
      <w:r w:rsidRPr="003326CD">
        <w:rPr>
          <w:rFonts w:ascii="Times New Roman" w:eastAsia="Times New Roman" w:hAnsi="Times New Roman" w:cs="Times New Roman"/>
          <w:sz w:val="24"/>
          <w:szCs w:val="24"/>
          <w:lang w:eastAsia="en-GB"/>
        </w:rPr>
        <w:t>: Serve notices to both the Head Landlord and neighbouring tenants/lessees.</w:t>
      </w:r>
    </w:p>
    <w:p w14:paraId="4781863B" w14:textId="77777777" w:rsidR="003326CD" w:rsidRPr="003326CD" w:rsidRDefault="003326CD" w:rsidP="003326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26C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Uncertain Ownership</w:t>
      </w:r>
      <w:r w:rsidRPr="003326CD">
        <w:rPr>
          <w:rFonts w:ascii="Times New Roman" w:eastAsia="Times New Roman" w:hAnsi="Times New Roman" w:cs="Times New Roman"/>
          <w:sz w:val="24"/>
          <w:szCs w:val="24"/>
          <w:lang w:eastAsia="en-GB"/>
        </w:rPr>
        <w:t>: Address notices to “the owner” and deliver them in person.</w:t>
      </w:r>
    </w:p>
    <w:p w14:paraId="4F076651" w14:textId="77777777" w:rsidR="003326CD" w:rsidRPr="003326CD" w:rsidRDefault="003326CD" w:rsidP="003326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26C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Written Consent</w:t>
      </w:r>
      <w:r w:rsidRPr="003326CD">
        <w:rPr>
          <w:rFonts w:ascii="Times New Roman" w:eastAsia="Times New Roman" w:hAnsi="Times New Roman" w:cs="Times New Roman"/>
          <w:sz w:val="24"/>
          <w:szCs w:val="24"/>
          <w:lang w:eastAsia="en-GB"/>
        </w:rPr>
        <w:t>: Document consent in writing. Include draft agreements with the notice for neighbour's signature.</w:t>
      </w:r>
    </w:p>
    <w:p w14:paraId="69ED05F1" w14:textId="77777777" w:rsidR="003326CD" w:rsidRPr="003326CD" w:rsidRDefault="003326CD" w:rsidP="003326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26C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Rejection of Works</w:t>
      </w:r>
      <w:r w:rsidRPr="003326CD">
        <w:rPr>
          <w:rFonts w:ascii="Times New Roman" w:eastAsia="Times New Roman" w:hAnsi="Times New Roman" w:cs="Times New Roman"/>
          <w:sz w:val="24"/>
          <w:szCs w:val="24"/>
          <w:lang w:eastAsia="en-GB"/>
        </w:rPr>
        <w:t>: Follow the Dispute Resolution Process if works are rejected.</w:t>
      </w:r>
    </w:p>
    <w:p w14:paraId="4509EA8F" w14:textId="42E0BD7F" w:rsidR="003326CD" w:rsidRPr="003326CD" w:rsidRDefault="003326CD" w:rsidP="003326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Counter-Notice</w:t>
      </w:r>
      <w:r w:rsidRPr="003326CD">
        <w:rPr>
          <w:rFonts w:ascii="Times New Roman" w:eastAsia="Times New Roman" w:hAnsi="Times New Roman" w:cs="Times New Roman"/>
          <w:sz w:val="24"/>
          <w:szCs w:val="24"/>
          <w:lang w:eastAsia="en-GB"/>
        </w:rPr>
        <w:t>: Neighbours may request additional works; respond within 14 days.</w:t>
      </w:r>
    </w:p>
    <w:p w14:paraId="28783B07" w14:textId="6262C6D8" w:rsidR="003326CD" w:rsidRPr="003326CD" w:rsidRDefault="003326CD" w:rsidP="003326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26C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Access for Works</w:t>
      </w:r>
      <w:r w:rsidRPr="003326CD">
        <w:rPr>
          <w:rFonts w:ascii="Times New Roman" w:eastAsia="Times New Roman" w:hAnsi="Times New Roman" w:cs="Times New Roman"/>
          <w:sz w:val="24"/>
          <w:szCs w:val="24"/>
          <w:lang w:eastAsia="en-GB"/>
        </w:rPr>
        <w:t>: Provide 14 days’ notice for building work access unless it is an emergency.</w:t>
      </w:r>
    </w:p>
    <w:p w14:paraId="277D5589" w14:textId="77777777" w:rsidR="003326CD" w:rsidRPr="003326CD" w:rsidRDefault="003326CD" w:rsidP="003326C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3326CD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lastRenderedPageBreak/>
        <w:t>Dispute Resolution and Surveyor Appointment</w:t>
      </w:r>
    </w:p>
    <w:p w14:paraId="0E472205" w14:textId="77777777" w:rsidR="003326CD" w:rsidRPr="003326CD" w:rsidRDefault="003326CD" w:rsidP="003326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26C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Neighbour Objections</w:t>
      </w:r>
      <w:r w:rsidRPr="003326CD">
        <w:rPr>
          <w:rFonts w:ascii="Times New Roman" w:eastAsia="Times New Roman" w:hAnsi="Times New Roman" w:cs="Times New Roman"/>
          <w:sz w:val="24"/>
          <w:szCs w:val="24"/>
          <w:lang w:eastAsia="en-GB"/>
        </w:rPr>
        <w:t>: Neighbours can object to specific aspects of the work if procedures are followed.</w:t>
      </w:r>
    </w:p>
    <w:p w14:paraId="59F0C499" w14:textId="77777777" w:rsidR="003326CD" w:rsidRPr="003326CD" w:rsidRDefault="003326CD" w:rsidP="003326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26C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Further Discussion</w:t>
      </w:r>
      <w:r w:rsidRPr="003326CD">
        <w:rPr>
          <w:rFonts w:ascii="Times New Roman" w:eastAsia="Times New Roman" w:hAnsi="Times New Roman" w:cs="Times New Roman"/>
          <w:sz w:val="24"/>
          <w:szCs w:val="24"/>
          <w:lang w:eastAsia="en-GB"/>
        </w:rPr>
        <w:t>: Resolve concerns by incorporating conditions into the agreement, such as work timings.</w:t>
      </w:r>
    </w:p>
    <w:p w14:paraId="04B316EC" w14:textId="77777777" w:rsidR="003326CD" w:rsidRPr="003326CD" w:rsidRDefault="003326CD" w:rsidP="003326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26C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Appointing a </w:t>
      </w:r>
      <w:proofErr w:type="gramStart"/>
      <w:r w:rsidRPr="003326C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Surveyor</w:t>
      </w:r>
      <w:proofErr w:type="gramEnd"/>
      <w:r w:rsidRPr="003326CD">
        <w:rPr>
          <w:rFonts w:ascii="Times New Roman" w:eastAsia="Times New Roman" w:hAnsi="Times New Roman" w:cs="Times New Roman"/>
          <w:sz w:val="24"/>
          <w:szCs w:val="24"/>
          <w:lang w:eastAsia="en-GB"/>
        </w:rPr>
        <w:t>: Appoint an impartial surveyor if an agreement is unlikely. Both parties can agree on one surveyor.</w:t>
      </w:r>
    </w:p>
    <w:p w14:paraId="65832071" w14:textId="77777777" w:rsidR="003326CD" w:rsidRPr="003326CD" w:rsidRDefault="003326CD" w:rsidP="003326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26C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Cost Responsibility</w:t>
      </w:r>
      <w:r w:rsidRPr="003326CD">
        <w:rPr>
          <w:rFonts w:ascii="Times New Roman" w:eastAsia="Times New Roman" w:hAnsi="Times New Roman" w:cs="Times New Roman"/>
          <w:sz w:val="24"/>
          <w:szCs w:val="24"/>
          <w:lang w:eastAsia="en-GB"/>
        </w:rPr>
        <w:t>: Costs are typically borne by the building owner unless the works benefit both parties, in which case costs are shared.</w:t>
      </w:r>
    </w:p>
    <w:p w14:paraId="72807E8B" w14:textId="77777777" w:rsidR="003326CD" w:rsidRPr="003326CD" w:rsidRDefault="003326CD" w:rsidP="003326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26C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Party Wall Award</w:t>
      </w:r>
      <w:r w:rsidRPr="003326CD">
        <w:rPr>
          <w:rFonts w:ascii="Times New Roman" w:eastAsia="Times New Roman" w:hAnsi="Times New Roman" w:cs="Times New Roman"/>
          <w:sz w:val="24"/>
          <w:szCs w:val="24"/>
          <w:lang w:eastAsia="en-GB"/>
        </w:rPr>
        <w:t>: A legally binding document detailing the work, timeline, and cost responsibility.</w:t>
      </w:r>
    </w:p>
    <w:p w14:paraId="46837F20" w14:textId="77777777" w:rsidR="003326CD" w:rsidRPr="003326CD" w:rsidRDefault="003326CD" w:rsidP="003326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26C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Appeals</w:t>
      </w:r>
      <w:r w:rsidRPr="003326CD">
        <w:rPr>
          <w:rFonts w:ascii="Times New Roman" w:eastAsia="Times New Roman" w:hAnsi="Times New Roman" w:cs="Times New Roman"/>
          <w:sz w:val="24"/>
          <w:szCs w:val="24"/>
          <w:lang w:eastAsia="en-GB"/>
        </w:rPr>
        <w:t>: Appeals against the award can be made to the County Court within 14 days if there are errors. The Court can amend, overturn, or make a new decision.</w:t>
      </w:r>
    </w:p>
    <w:p w14:paraId="3DB0C65E" w14:textId="77777777" w:rsidR="003326CD" w:rsidRPr="003326CD" w:rsidRDefault="003326CD" w:rsidP="003326C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3326CD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Additional Resources</w:t>
      </w:r>
    </w:p>
    <w:p w14:paraId="41B6D286" w14:textId="77777777" w:rsidR="003326CD" w:rsidRPr="003326CD" w:rsidRDefault="003326CD" w:rsidP="003326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26C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Government's Party Wall Explanatory Booklet</w:t>
      </w:r>
      <w:r w:rsidRPr="003326C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Contains example notices and acknowledgments for various situations. </w:t>
      </w:r>
      <w:hyperlink r:id="rId7" w:tgtFrame="_new" w:history="1">
        <w:r w:rsidRPr="003326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Government’s Party Wall Explanatory Booklet</w:t>
        </w:r>
      </w:hyperlink>
    </w:p>
    <w:p w14:paraId="1DB7385F" w14:textId="77777777" w:rsidR="003326CD" w:rsidRPr="003326CD" w:rsidRDefault="003326CD" w:rsidP="003326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26C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Note</w:t>
      </w:r>
      <w:r w:rsidRPr="003326CD">
        <w:rPr>
          <w:rFonts w:ascii="Times New Roman" w:eastAsia="Times New Roman" w:hAnsi="Times New Roman" w:cs="Times New Roman"/>
          <w:sz w:val="24"/>
          <w:szCs w:val="24"/>
          <w:lang w:eastAsia="en-GB"/>
        </w:rPr>
        <w:t>: This guide is for informational purposes only and does not constitute legal advice. For specific legal matters, seek independent legal or specialist advice.</w:t>
      </w:r>
    </w:p>
    <w:p w14:paraId="4947AEA8" w14:textId="77777777" w:rsidR="007900B5" w:rsidRDefault="007900B5"/>
    <w:sectPr w:rsidR="007900B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F7EA9" w14:textId="77777777" w:rsidR="0048213B" w:rsidRDefault="0048213B" w:rsidP="003326CD">
      <w:pPr>
        <w:spacing w:after="0" w:line="240" w:lineRule="auto"/>
      </w:pPr>
      <w:r>
        <w:separator/>
      </w:r>
    </w:p>
  </w:endnote>
  <w:endnote w:type="continuationSeparator" w:id="0">
    <w:p w14:paraId="6331A47E" w14:textId="77777777" w:rsidR="0048213B" w:rsidRDefault="0048213B" w:rsidP="00332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789125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F608F49" w14:textId="00AEA012" w:rsidR="003326CD" w:rsidRDefault="003326C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279865" w14:textId="7DC0750C" w:rsidR="003326CD" w:rsidRDefault="003326CD">
    <w:pPr>
      <w:pStyle w:val="Footer"/>
    </w:pPr>
    <w:r>
      <w:t xml:space="preserve">British Landlords Association   |   </w:t>
    </w:r>
    <w:r w:rsidRPr="003326CD">
      <w:rPr>
        <w:color w:val="0F9ED5" w:themeColor="accent4"/>
      </w:rPr>
      <w:t xml:space="preserve">thebla.co.uk   </w:t>
    </w:r>
    <w:r>
      <w:t>|   Version 24/7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71D78" w14:textId="77777777" w:rsidR="0048213B" w:rsidRDefault="0048213B" w:rsidP="003326CD">
      <w:pPr>
        <w:spacing w:after="0" w:line="240" w:lineRule="auto"/>
      </w:pPr>
      <w:r>
        <w:separator/>
      </w:r>
    </w:p>
  </w:footnote>
  <w:footnote w:type="continuationSeparator" w:id="0">
    <w:p w14:paraId="545009CA" w14:textId="77777777" w:rsidR="0048213B" w:rsidRDefault="0048213B" w:rsidP="00332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33291"/>
    <w:multiLevelType w:val="multilevel"/>
    <w:tmpl w:val="2AE27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455B5B"/>
    <w:multiLevelType w:val="multilevel"/>
    <w:tmpl w:val="EECE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6E1FCD"/>
    <w:multiLevelType w:val="multilevel"/>
    <w:tmpl w:val="637E4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FB1104"/>
    <w:multiLevelType w:val="multilevel"/>
    <w:tmpl w:val="12E42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636FCF"/>
    <w:multiLevelType w:val="multilevel"/>
    <w:tmpl w:val="4224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2468127">
    <w:abstractNumId w:val="2"/>
  </w:num>
  <w:num w:numId="2" w16cid:durableId="1614899469">
    <w:abstractNumId w:val="0"/>
  </w:num>
  <w:num w:numId="3" w16cid:durableId="1475755229">
    <w:abstractNumId w:val="3"/>
  </w:num>
  <w:num w:numId="4" w16cid:durableId="1031342883">
    <w:abstractNumId w:val="1"/>
  </w:num>
  <w:num w:numId="5" w16cid:durableId="12993829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6CD"/>
    <w:rsid w:val="000159DB"/>
    <w:rsid w:val="000A24C7"/>
    <w:rsid w:val="000C0964"/>
    <w:rsid w:val="000D46C2"/>
    <w:rsid w:val="000E7C17"/>
    <w:rsid w:val="00196920"/>
    <w:rsid w:val="00287DBB"/>
    <w:rsid w:val="002F0A1E"/>
    <w:rsid w:val="003326CD"/>
    <w:rsid w:val="003C35DE"/>
    <w:rsid w:val="0048213B"/>
    <w:rsid w:val="004A1E42"/>
    <w:rsid w:val="004D4387"/>
    <w:rsid w:val="005D5F32"/>
    <w:rsid w:val="00620E86"/>
    <w:rsid w:val="006D7764"/>
    <w:rsid w:val="007839BF"/>
    <w:rsid w:val="007900B5"/>
    <w:rsid w:val="007D54AB"/>
    <w:rsid w:val="008467B5"/>
    <w:rsid w:val="008C1645"/>
    <w:rsid w:val="00901838"/>
    <w:rsid w:val="009538B8"/>
    <w:rsid w:val="00A563FE"/>
    <w:rsid w:val="00AD3CDD"/>
    <w:rsid w:val="00C8174D"/>
    <w:rsid w:val="00DB6C80"/>
    <w:rsid w:val="00E14CB0"/>
    <w:rsid w:val="00E84CC5"/>
    <w:rsid w:val="00EA33FB"/>
    <w:rsid w:val="00F51309"/>
    <w:rsid w:val="00F6128B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26777B"/>
  <w15:chartTrackingRefBased/>
  <w15:docId w15:val="{09FBAA24-5D60-4F03-A95B-E79D91D2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2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2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6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26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2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2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2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2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6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26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6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6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26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6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26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26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26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2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2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2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2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26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26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26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26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26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26C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32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6CD"/>
  </w:style>
  <w:style w:type="paragraph" w:styleId="Footer">
    <w:name w:val="footer"/>
    <w:basedOn w:val="Normal"/>
    <w:link w:val="FooterChar"/>
    <w:uiPriority w:val="99"/>
    <w:unhideWhenUsed/>
    <w:rsid w:val="00332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1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preventing-and-resolving-disputes-in-relation-to-party-walls/the-party-wall-etc-act-1996-explanatory-bookl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540</Words>
  <Characters>3071</Characters>
  <Application>Microsoft Office Word</Application>
  <DocSecurity>0</DocSecurity>
  <Lines>60</Lines>
  <Paragraphs>32</Paragraphs>
  <ScaleCrop>false</ScaleCrop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1</cp:revision>
  <dcterms:created xsi:type="dcterms:W3CDTF">2024-07-29T08:13:00Z</dcterms:created>
  <dcterms:modified xsi:type="dcterms:W3CDTF">2024-07-29T08:17:00Z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f661ea8f-179e-426f-a4e3-8e5d9f1e200f</vt:lpwstr>
  </property>
</Properties>
</file>